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C6F58" w14:textId="77777777" w:rsidR="00712DAE" w:rsidRPr="00E77E42" w:rsidRDefault="00712DAE" w:rsidP="00712DAE">
      <w:pPr>
        <w:pStyle w:val="Title"/>
        <w:rPr>
          <w:rFonts w:ascii="Arial" w:hAnsi="Arial" w:cs="Arial"/>
          <w:sz w:val="48"/>
          <w:szCs w:val="48"/>
        </w:rPr>
      </w:pPr>
      <w:r w:rsidRPr="00E77E42">
        <w:rPr>
          <w:rFonts w:ascii="Arial" w:hAnsi="Arial" w:cs="Arial"/>
          <w:sz w:val="48"/>
          <w:szCs w:val="48"/>
        </w:rPr>
        <w:t>GUIDELINE FOR THE PREPARATION OF PAPER RECORDS PRIOR TO THEIR TRANSFER TO UQ CENTRAL RECORDS FOR ONGOING MANAGEMENT</w:t>
      </w:r>
    </w:p>
    <w:p w14:paraId="393EDB43" w14:textId="77777777" w:rsidR="00712DAE" w:rsidRPr="00DF1379" w:rsidRDefault="00712DAE" w:rsidP="00712DAE"/>
    <w:p w14:paraId="4CEB7C36" w14:textId="77777777" w:rsidR="00712DAE" w:rsidRPr="00E77E42" w:rsidRDefault="00712DAE" w:rsidP="00712DAE">
      <w:r w:rsidRPr="00E77E42">
        <w:t>The Records Governance team (RG) work in partnership with all UQ business areas to look after information that is required to be actively kept as evidence and that needs to be maintained and secured as authentic records with enough context to verify them as sources of truth. The length of time that they need to be retained and preserved for assurance of their authenticity is designated by legislation (minimum requirements) and the ongoing needs of the University (defines the maximum beyond the legal requirements).</w:t>
      </w:r>
    </w:p>
    <w:p w14:paraId="57E2FFD4" w14:textId="35A7FCA6" w:rsidR="00712DAE" w:rsidRPr="00E77E42" w:rsidRDefault="00712DAE" w:rsidP="00712DAE">
      <w:r w:rsidRPr="00E77E42">
        <w:t>Records whether they are paper or digital in their format, must not be altered or destroyed, but must be verified and approved by the authorised UQ delegates before they can be deleted/destroyed. The process is outlined under UQ Policy and Procedures. The over-arching legislation that UQ must abide by is Public Records Act 2002.</w:t>
      </w:r>
    </w:p>
    <w:p w14:paraId="3A7D5975" w14:textId="77777777" w:rsidR="00712DAE" w:rsidRDefault="00F66CBB" w:rsidP="00712DAE">
      <w:r>
        <w:pict w14:anchorId="7596188C">
          <v:rect id="_x0000_i1025" style="width:0;height:1.5pt" o:hralign="center" o:hrstd="t" o:hr="t" fillcolor="#a0a0a0" stroked="f"/>
        </w:pict>
      </w:r>
    </w:p>
    <w:p w14:paraId="5CE5A494" w14:textId="43E90196" w:rsidR="00712DAE" w:rsidRDefault="00712DAE" w:rsidP="00712DAE">
      <w:pPr>
        <w:pStyle w:val="Title"/>
      </w:pPr>
      <w:r>
        <w:t xml:space="preserve">Preparation Checklist </w:t>
      </w:r>
    </w:p>
    <w:p w14:paraId="3D584DF1" w14:textId="64741953" w:rsidR="00712DAE" w:rsidRDefault="00712DAE" w:rsidP="00712DAE"/>
    <w:p w14:paraId="34D7D65F" w14:textId="77777777" w:rsidR="00712DAE" w:rsidRPr="0078570F" w:rsidRDefault="00712DAE" w:rsidP="00712DAE">
      <w:pPr>
        <w:pStyle w:val="Heading2"/>
        <w:numPr>
          <w:ilvl w:val="0"/>
          <w:numId w:val="8"/>
        </w:numPr>
        <w:spacing w:before="0" w:after="120" w:line="240" w:lineRule="auto"/>
        <w:ind w:left="357" w:hanging="357"/>
        <w:rPr>
          <w:b/>
        </w:rPr>
      </w:pPr>
      <w:r w:rsidRPr="002528AA">
        <w:rPr>
          <w:b/>
        </w:rPr>
        <w:t>First of all, contact UQ Central Records (</w:t>
      </w:r>
      <w:hyperlink r:id="rId11" w:history="1">
        <w:r w:rsidRPr="002528AA">
          <w:rPr>
            <w:rStyle w:val="Hyperlink"/>
            <w:b/>
          </w:rPr>
          <w:t>uqcentralrecords@uq.edu.au</w:t>
        </w:r>
      </w:hyperlink>
      <w:r w:rsidRPr="002528AA">
        <w:rPr>
          <w:b/>
        </w:rPr>
        <w:t xml:space="preserve">) </w:t>
      </w:r>
      <w:r w:rsidRPr="0078570F">
        <w:rPr>
          <w:b/>
          <w:i/>
          <w:color w:val="FF0000"/>
        </w:rPr>
        <w:t>before</w:t>
      </w:r>
      <w:r w:rsidRPr="0078570F">
        <w:rPr>
          <w:b/>
          <w:color w:val="FF0000"/>
        </w:rPr>
        <w:t xml:space="preserve"> </w:t>
      </w:r>
      <w:r w:rsidRPr="002528AA">
        <w:rPr>
          <w:b/>
        </w:rPr>
        <w:t>sending envelopes or boxes of documentation to ensure the appropriate security is organised</w:t>
      </w:r>
      <w:r>
        <w:rPr>
          <w:b/>
        </w:rPr>
        <w:t xml:space="preserve"> for the type of records to be transferred</w:t>
      </w:r>
      <w:r w:rsidRPr="002528AA">
        <w:rPr>
          <w:b/>
        </w:rPr>
        <w:t xml:space="preserve"> and the correct delivery address details</w:t>
      </w:r>
      <w:r>
        <w:rPr>
          <w:b/>
        </w:rPr>
        <w:t xml:space="preserve"> are used.</w:t>
      </w:r>
      <w:r>
        <w:rPr>
          <w:b/>
        </w:rPr>
        <w:br/>
      </w:r>
      <w:r>
        <w:t>Ensure the archive boxes are fit for transporting the records and are free from any infestations as the Records Governance warehouse is a controlled environment intended to provide protected storage to UQ’s records.</w:t>
      </w:r>
    </w:p>
    <w:p w14:paraId="60AA3E55" w14:textId="0A704840" w:rsidR="00712DAE" w:rsidRPr="00046DFF" w:rsidRDefault="00712DAE" w:rsidP="00712DAE">
      <w:pPr>
        <w:numPr>
          <w:ilvl w:val="0"/>
          <w:numId w:val="8"/>
        </w:numPr>
        <w:spacing w:after="120" w:line="240" w:lineRule="auto"/>
        <w:ind w:left="357" w:hanging="357"/>
        <w:rPr>
          <w:rFonts w:asciiTheme="majorHAnsi" w:eastAsiaTheme="majorEastAsia" w:hAnsiTheme="majorHAnsi" w:cstheme="majorBidi"/>
          <w:b/>
          <w:color w:val="2E74B5" w:themeColor="accent1" w:themeShade="BF"/>
          <w:sz w:val="26"/>
          <w:szCs w:val="26"/>
        </w:rPr>
      </w:pPr>
      <w:r w:rsidRPr="00046DFF">
        <w:rPr>
          <w:rFonts w:asciiTheme="majorHAnsi" w:eastAsiaTheme="majorEastAsia" w:hAnsiTheme="majorHAnsi" w:cstheme="majorBidi"/>
          <w:b/>
          <w:color w:val="2E74B5" w:themeColor="accent1" w:themeShade="BF"/>
          <w:sz w:val="26"/>
          <w:szCs w:val="26"/>
        </w:rPr>
        <w:t>C</w:t>
      </w:r>
      <w:r>
        <w:rPr>
          <w:rFonts w:asciiTheme="majorHAnsi" w:eastAsiaTheme="majorEastAsia" w:hAnsiTheme="majorHAnsi" w:cstheme="majorBidi"/>
          <w:b/>
          <w:color w:val="2E74B5" w:themeColor="accent1" w:themeShade="BF"/>
          <w:sz w:val="26"/>
          <w:szCs w:val="26"/>
        </w:rPr>
        <w:t xml:space="preserve">ompleting or reviewing </w:t>
      </w:r>
      <w:r w:rsidRPr="00046DFF">
        <w:rPr>
          <w:rFonts w:asciiTheme="majorHAnsi" w:eastAsiaTheme="majorEastAsia" w:hAnsiTheme="majorHAnsi" w:cstheme="majorBidi"/>
          <w:b/>
          <w:color w:val="2E74B5" w:themeColor="accent1" w:themeShade="BF"/>
          <w:sz w:val="26"/>
          <w:szCs w:val="26"/>
        </w:rPr>
        <w:t xml:space="preserve">this checklist prior to contacting </w:t>
      </w:r>
      <w:r>
        <w:rPr>
          <w:rFonts w:asciiTheme="majorHAnsi" w:eastAsiaTheme="majorEastAsia" w:hAnsiTheme="majorHAnsi" w:cstheme="majorBidi"/>
          <w:b/>
          <w:color w:val="2E74B5" w:themeColor="accent1" w:themeShade="BF"/>
          <w:sz w:val="26"/>
          <w:szCs w:val="26"/>
        </w:rPr>
        <w:t xml:space="preserve">UQ Central Records </w:t>
      </w:r>
      <w:r w:rsidRPr="00046DFF">
        <w:rPr>
          <w:rFonts w:asciiTheme="majorHAnsi" w:eastAsiaTheme="majorEastAsia" w:hAnsiTheme="majorHAnsi" w:cstheme="majorBidi"/>
          <w:b/>
          <w:color w:val="2E74B5" w:themeColor="accent1" w:themeShade="BF"/>
          <w:sz w:val="26"/>
          <w:szCs w:val="26"/>
        </w:rPr>
        <w:t>is recommended.</w:t>
      </w:r>
    </w:p>
    <w:p w14:paraId="63CC892D" w14:textId="39D8E5F3" w:rsidR="00712DAE" w:rsidRDefault="00712DAE" w:rsidP="00712DAE">
      <w:pPr>
        <w:pStyle w:val="Heading2"/>
        <w:numPr>
          <w:ilvl w:val="0"/>
          <w:numId w:val="8"/>
        </w:numPr>
        <w:spacing w:before="0" w:after="120" w:line="240" w:lineRule="auto"/>
        <w:ind w:left="357" w:hanging="357"/>
        <w:rPr>
          <w:b/>
        </w:rPr>
      </w:pPr>
      <w:r>
        <w:rPr>
          <w:b/>
        </w:rPr>
        <w:t>Prior to despatch of records, a content summary/listing will be needed (see checklist below).</w:t>
      </w:r>
    </w:p>
    <w:p w14:paraId="25622F3B" w14:textId="2D17D0FF" w:rsidR="00712DAE" w:rsidRDefault="00712DAE" w:rsidP="00712DAE">
      <w:pPr>
        <w:pStyle w:val="Heading2"/>
        <w:numPr>
          <w:ilvl w:val="0"/>
          <w:numId w:val="8"/>
        </w:numPr>
        <w:spacing w:before="0" w:after="120" w:line="240" w:lineRule="auto"/>
        <w:ind w:left="357" w:hanging="357"/>
        <w:rPr>
          <w:b/>
        </w:rPr>
      </w:pPr>
      <w:r>
        <w:rPr>
          <w:b/>
        </w:rPr>
        <w:t>Sender details and contact information, plus the name of the UQ business area, need to be included with despatch information.</w:t>
      </w:r>
    </w:p>
    <w:p w14:paraId="05B997DD" w14:textId="65D75F3E" w:rsidR="00712DAE" w:rsidRPr="00B70F37" w:rsidRDefault="00712DAE" w:rsidP="00712DAE">
      <w:pPr>
        <w:numPr>
          <w:ilvl w:val="0"/>
          <w:numId w:val="8"/>
        </w:numPr>
        <w:rPr>
          <w:rFonts w:asciiTheme="majorHAnsi" w:eastAsiaTheme="majorEastAsia" w:hAnsiTheme="majorHAnsi" w:cstheme="majorBidi"/>
          <w:b/>
          <w:color w:val="2E74B5" w:themeColor="accent1" w:themeShade="BF"/>
          <w:sz w:val="26"/>
          <w:szCs w:val="26"/>
        </w:rPr>
      </w:pPr>
      <w:r w:rsidRPr="00B70F37">
        <w:rPr>
          <w:rFonts w:asciiTheme="majorHAnsi" w:eastAsiaTheme="majorEastAsia" w:hAnsiTheme="majorHAnsi" w:cstheme="majorBidi"/>
          <w:b/>
          <w:color w:val="2E74B5" w:themeColor="accent1" w:themeShade="BF"/>
          <w:sz w:val="26"/>
          <w:szCs w:val="26"/>
        </w:rPr>
        <w:t>The business area organises delivery.</w:t>
      </w:r>
    </w:p>
    <w:p w14:paraId="1D786175" w14:textId="77777777" w:rsidR="00712DAE" w:rsidRDefault="00712DAE" w:rsidP="00712DAE">
      <w:pPr>
        <w:pStyle w:val="Heading2"/>
        <w:numPr>
          <w:ilvl w:val="0"/>
          <w:numId w:val="8"/>
        </w:numPr>
        <w:spacing w:before="0" w:after="120" w:line="240" w:lineRule="auto"/>
        <w:ind w:left="357" w:hanging="357"/>
        <w:rPr>
          <w:b/>
        </w:rPr>
      </w:pPr>
      <w:r w:rsidRPr="002528AA">
        <w:rPr>
          <w:b/>
        </w:rPr>
        <w:t>Send an email to UQ Central Records (</w:t>
      </w:r>
      <w:hyperlink r:id="rId12" w:history="1">
        <w:r w:rsidRPr="002528AA">
          <w:t>uqcentralrecords@uq.edu.au</w:t>
        </w:r>
      </w:hyperlink>
      <w:r w:rsidRPr="002528AA">
        <w:rPr>
          <w:b/>
        </w:rPr>
        <w:t>)</w:t>
      </w:r>
      <w:r>
        <w:rPr>
          <w:b/>
        </w:rPr>
        <w:t xml:space="preserve"> to advise dispatch date. Include the digital version of the content summaries in the email.</w:t>
      </w:r>
    </w:p>
    <w:p w14:paraId="0D2C778D" w14:textId="77777777" w:rsidR="00712DAE" w:rsidRPr="002528AA" w:rsidRDefault="00F66CBB" w:rsidP="00712DAE">
      <w:r>
        <w:pict w14:anchorId="1A38983D">
          <v:rect id="_x0000_i1026" style="width:0;height:1.5pt" o:hralign="center" o:hrstd="t" o:hr="t" fillcolor="#a0a0a0" stroked="f"/>
        </w:pict>
      </w:r>
    </w:p>
    <w:p w14:paraId="7DF31205" w14:textId="34FA7C02" w:rsidR="00712DAE" w:rsidRDefault="00B377AC" w:rsidP="00712DAE">
      <w:pPr>
        <w:rPr>
          <w:rFonts w:asciiTheme="majorHAnsi" w:eastAsiaTheme="majorEastAsia" w:hAnsiTheme="majorHAnsi" w:cstheme="majorBidi"/>
          <w:color w:val="2E74B5" w:themeColor="accent1" w:themeShade="BF"/>
          <w:sz w:val="32"/>
          <w:szCs w:val="32"/>
        </w:rPr>
      </w:pPr>
      <w:r>
        <w:lastRenderedPageBreak/>
        <w:br/>
      </w:r>
      <w:r w:rsidR="00712DAE">
        <w:t xml:space="preserve">See </w:t>
      </w:r>
      <w:r>
        <w:t>below</w:t>
      </w:r>
      <w:r w:rsidR="00712DAE">
        <w:t xml:space="preserve"> for checklist and boxing guidance</w:t>
      </w:r>
    </w:p>
    <w:p w14:paraId="0BA0C1D4" w14:textId="386391E9" w:rsidR="00712DAE" w:rsidRPr="007C696F" w:rsidRDefault="00712DAE" w:rsidP="00712DAE">
      <w:pPr>
        <w:pStyle w:val="Heading1"/>
      </w:pPr>
      <w:r w:rsidRPr="007C696F">
        <w:t>Paper record collections need to be boxed in accordance with the following:</w:t>
      </w:r>
    </w:p>
    <w:p w14:paraId="1A1581D5" w14:textId="77777777" w:rsidR="00712DAE" w:rsidRDefault="00712DAE" w:rsidP="00712DAE"/>
    <w:p w14:paraId="31388BC0" w14:textId="77777777" w:rsidR="00712DAE" w:rsidRDefault="00712DAE" w:rsidP="00712DAE">
      <w:pPr>
        <w:numPr>
          <w:ilvl w:val="0"/>
          <w:numId w:val="5"/>
        </w:numPr>
      </w:pPr>
      <w:r>
        <w:t xml:space="preserve">Only put similar activities within an official archive box </w:t>
      </w:r>
      <w:r>
        <w:rPr>
          <w:rStyle w:val="FootnoteReference"/>
        </w:rPr>
        <w:footnoteReference w:id="2"/>
      </w:r>
      <w:r>
        <w:t>; do not mix operational matters. The reason is different types of activities can have differing retention requirements. RMAS will determine/verify legal retention requirements. Not mixing business activities within a box provides greater processing efficiency for all parties.</w:t>
      </w:r>
    </w:p>
    <w:p w14:paraId="6A0DC697" w14:textId="77777777" w:rsidR="00712DAE" w:rsidRDefault="00712DAE" w:rsidP="00712DAE">
      <w:pPr>
        <w:ind w:left="360"/>
      </w:pPr>
    </w:p>
    <w:p w14:paraId="61562542" w14:textId="77777777" w:rsidR="00712DAE" w:rsidRDefault="00712DAE" w:rsidP="00712DAE">
      <w:pPr>
        <w:numPr>
          <w:ilvl w:val="0"/>
          <w:numId w:val="5"/>
        </w:numPr>
      </w:pPr>
      <w:r>
        <w:t>If the information relates to:</w:t>
      </w:r>
    </w:p>
    <w:p w14:paraId="40E02D04" w14:textId="77777777" w:rsidR="00712DAE" w:rsidRDefault="00712DAE" w:rsidP="00712DAE">
      <w:pPr>
        <w:numPr>
          <w:ilvl w:val="1"/>
          <w:numId w:val="6"/>
        </w:numPr>
      </w:pPr>
      <w:r w:rsidRPr="00EC12F4">
        <w:rPr>
          <w:b/>
        </w:rPr>
        <w:t>Staff files/records</w:t>
      </w:r>
      <w:r>
        <w:t xml:space="preserve">:  </w:t>
      </w:r>
      <w:r>
        <w:br/>
        <w:t>Organise files alphabetically by LAST NAME into an official archive box or digital container. Create a printable list of the files contained within each box/digital container. The list needs to include the full name of the staff member, their Aurion/Workday staff number and date of birth (DOB). Please use the template provided by RMAS. Do not overload a box.</w:t>
      </w:r>
    </w:p>
    <w:p w14:paraId="732BDCB3" w14:textId="4CD54815" w:rsidR="00712DAE" w:rsidRDefault="00712DAE" w:rsidP="00712DAE">
      <w:pPr>
        <w:numPr>
          <w:ilvl w:val="1"/>
          <w:numId w:val="6"/>
        </w:numPr>
      </w:pPr>
      <w:r w:rsidRPr="00EC12F4">
        <w:rPr>
          <w:b/>
        </w:rPr>
        <w:t>Student records</w:t>
      </w:r>
      <w:r>
        <w:t xml:space="preserve">: </w:t>
      </w:r>
      <w:r>
        <w:br/>
        <w:t>Organise files alphabetically by LAST NAME into an official archive box/digital container. Create a printable list of the files contained in each box/digital container. The list needs to include the full name of the student, their student number and DOB (use template provided by RMAS)</w:t>
      </w:r>
    </w:p>
    <w:p w14:paraId="74BEAE98" w14:textId="77777777" w:rsidR="00712DAE" w:rsidRDefault="00712DAE" w:rsidP="00712DAE">
      <w:pPr>
        <w:numPr>
          <w:ilvl w:val="1"/>
          <w:numId w:val="6"/>
        </w:numPr>
      </w:pPr>
      <w:r w:rsidRPr="00EC12F4">
        <w:rPr>
          <w:b/>
        </w:rPr>
        <w:t>Committee papers</w:t>
      </w:r>
      <w:r>
        <w:t>:</w:t>
      </w:r>
      <w:r>
        <w:br/>
        <w:t>Organise into name of committee, then chronologically according to the date the meetings were held. Create a printable list of the files contained in each box/digital container. Ensure it includes full name of the committee, abbreviation if applicable, details e.g. agenda, minutes, working papers, etc; date of meeting.</w:t>
      </w:r>
    </w:p>
    <w:p w14:paraId="523CE8E4" w14:textId="5EAC2363" w:rsidR="00712DAE" w:rsidRDefault="00712DAE" w:rsidP="00712DAE">
      <w:pPr>
        <w:numPr>
          <w:ilvl w:val="1"/>
          <w:numId w:val="6"/>
        </w:numPr>
      </w:pPr>
      <w:r w:rsidRPr="00EC12F4">
        <w:rPr>
          <w:b/>
        </w:rPr>
        <w:t>Contractual documentation</w:t>
      </w:r>
      <w:r>
        <w:t xml:space="preserve">:  </w:t>
      </w:r>
      <w:r>
        <w:br/>
        <w:t>Organise into categories of contract type. Contact RMAS for advice on next steps. The Enterprise Records and Document Management System (TRIM) is the designated central location for contractual documentation. A scanned copy of the final executed document is captured into a Digital Vault within the Enterprise Records and Document Management System (TRIM) as a central point of truth.</w:t>
      </w:r>
      <w:r w:rsidRPr="006904C3">
        <w:t xml:space="preserve"> </w:t>
      </w:r>
      <w:r>
        <w:t>RMAS provide secured centralised storage for original paper executed copies.</w:t>
      </w:r>
    </w:p>
    <w:p w14:paraId="05BF4D6C" w14:textId="77777777" w:rsidR="00712DAE" w:rsidRDefault="00712DAE" w:rsidP="00712DAE">
      <w:pPr>
        <w:numPr>
          <w:ilvl w:val="1"/>
          <w:numId w:val="6"/>
        </w:numPr>
      </w:pPr>
      <w:r w:rsidRPr="00EC12F4">
        <w:rPr>
          <w:b/>
        </w:rPr>
        <w:t>Other:</w:t>
      </w:r>
      <w:r>
        <w:t xml:space="preserve"> (please provide a comprehensive description)</w:t>
      </w:r>
    </w:p>
    <w:tbl>
      <w:tblPr>
        <w:tblStyle w:val="TableGrid"/>
        <w:tblW w:w="0" w:type="auto"/>
        <w:tblInd w:w="1129" w:type="dxa"/>
        <w:tblLook w:val="04A0" w:firstRow="1" w:lastRow="0" w:firstColumn="1" w:lastColumn="0" w:noHBand="0" w:noVBand="1"/>
      </w:tblPr>
      <w:tblGrid>
        <w:gridCol w:w="3402"/>
        <w:gridCol w:w="5097"/>
      </w:tblGrid>
      <w:tr w:rsidR="00712DAE" w:rsidRPr="002868D3" w14:paraId="3CBB74F8" w14:textId="77777777" w:rsidTr="00F66CBB">
        <w:tc>
          <w:tcPr>
            <w:tcW w:w="3402" w:type="dxa"/>
          </w:tcPr>
          <w:p w14:paraId="1709CC81" w14:textId="77777777" w:rsidR="00712DAE" w:rsidRPr="002868D3" w:rsidRDefault="00712DAE" w:rsidP="00F66CBB">
            <w:r w:rsidRPr="002868D3">
              <w:t>Operational activity:</w:t>
            </w:r>
          </w:p>
        </w:tc>
        <w:tc>
          <w:tcPr>
            <w:tcW w:w="5097" w:type="dxa"/>
          </w:tcPr>
          <w:p w14:paraId="6DF7210A" w14:textId="77777777" w:rsidR="00712DAE" w:rsidRPr="002868D3" w:rsidRDefault="00712DAE" w:rsidP="00F66CBB"/>
        </w:tc>
      </w:tr>
      <w:tr w:rsidR="00712DAE" w:rsidRPr="002868D3" w14:paraId="6DFFCA6B" w14:textId="77777777" w:rsidTr="00F66CBB">
        <w:tc>
          <w:tcPr>
            <w:tcW w:w="3402" w:type="dxa"/>
          </w:tcPr>
          <w:p w14:paraId="7E831D24" w14:textId="77777777" w:rsidR="00712DAE" w:rsidRPr="002868D3" w:rsidRDefault="00712DAE" w:rsidP="00F66CBB">
            <w:r w:rsidRPr="002868D3">
              <w:t>Subject:</w:t>
            </w:r>
          </w:p>
        </w:tc>
        <w:tc>
          <w:tcPr>
            <w:tcW w:w="5097" w:type="dxa"/>
          </w:tcPr>
          <w:p w14:paraId="0701E01F" w14:textId="77777777" w:rsidR="00712DAE" w:rsidRPr="002868D3" w:rsidRDefault="00712DAE" w:rsidP="00F66CBB"/>
        </w:tc>
      </w:tr>
      <w:tr w:rsidR="00712DAE" w:rsidRPr="002868D3" w14:paraId="6EA62EE2" w14:textId="77777777" w:rsidTr="00F66CBB">
        <w:tc>
          <w:tcPr>
            <w:tcW w:w="3402" w:type="dxa"/>
          </w:tcPr>
          <w:p w14:paraId="09055DD1" w14:textId="77777777" w:rsidR="00712DAE" w:rsidRPr="002868D3" w:rsidRDefault="00712DAE" w:rsidP="00F66CBB">
            <w:r w:rsidRPr="002868D3">
              <w:t>Date span of the items:</w:t>
            </w:r>
          </w:p>
        </w:tc>
        <w:tc>
          <w:tcPr>
            <w:tcW w:w="5097" w:type="dxa"/>
          </w:tcPr>
          <w:p w14:paraId="2DECC09E" w14:textId="77777777" w:rsidR="00712DAE" w:rsidRPr="002868D3" w:rsidRDefault="00712DAE" w:rsidP="00F66CBB"/>
        </w:tc>
      </w:tr>
      <w:tr w:rsidR="00712DAE" w:rsidRPr="002868D3" w14:paraId="4A7C55D6" w14:textId="77777777" w:rsidTr="00F66CBB">
        <w:tc>
          <w:tcPr>
            <w:tcW w:w="3402" w:type="dxa"/>
          </w:tcPr>
          <w:p w14:paraId="78618ADC" w14:textId="77777777" w:rsidR="00712DAE" w:rsidRPr="002868D3" w:rsidRDefault="00712DAE" w:rsidP="00F66CBB">
            <w:r w:rsidRPr="002868D3">
              <w:t>Current state, approximate volume and location:</w:t>
            </w:r>
          </w:p>
        </w:tc>
        <w:tc>
          <w:tcPr>
            <w:tcW w:w="5097" w:type="dxa"/>
          </w:tcPr>
          <w:p w14:paraId="51191661" w14:textId="77777777" w:rsidR="00712DAE" w:rsidRPr="002868D3" w:rsidRDefault="00712DAE" w:rsidP="00F66CBB"/>
        </w:tc>
      </w:tr>
      <w:tr w:rsidR="00712DAE" w:rsidRPr="002868D3" w14:paraId="7B37C293" w14:textId="77777777" w:rsidTr="00F66CBB">
        <w:tc>
          <w:tcPr>
            <w:tcW w:w="3402" w:type="dxa"/>
          </w:tcPr>
          <w:p w14:paraId="1EF5E157" w14:textId="77777777" w:rsidR="00712DAE" w:rsidRPr="002868D3" w:rsidRDefault="00712DAE" w:rsidP="00F66CBB">
            <w:r w:rsidRPr="002868D3">
              <w:t>Past/current owner of records:</w:t>
            </w:r>
          </w:p>
        </w:tc>
        <w:tc>
          <w:tcPr>
            <w:tcW w:w="5097" w:type="dxa"/>
          </w:tcPr>
          <w:p w14:paraId="59D27DFA" w14:textId="77777777" w:rsidR="00712DAE" w:rsidRPr="002868D3" w:rsidRDefault="00712DAE" w:rsidP="00F66CBB"/>
        </w:tc>
      </w:tr>
      <w:tr w:rsidR="00712DAE" w:rsidRPr="002868D3" w14:paraId="42170BE7" w14:textId="77777777" w:rsidTr="00F66CBB">
        <w:tc>
          <w:tcPr>
            <w:tcW w:w="3402" w:type="dxa"/>
          </w:tcPr>
          <w:p w14:paraId="25306AAE" w14:textId="77777777" w:rsidR="00712DAE" w:rsidRPr="002868D3" w:rsidRDefault="00712DAE" w:rsidP="00F66CBB">
            <w:r w:rsidRPr="002868D3">
              <w:t>Current custodian of records:</w:t>
            </w:r>
          </w:p>
        </w:tc>
        <w:tc>
          <w:tcPr>
            <w:tcW w:w="5097" w:type="dxa"/>
          </w:tcPr>
          <w:p w14:paraId="4D7950A1" w14:textId="77777777" w:rsidR="00712DAE" w:rsidRPr="002868D3" w:rsidRDefault="00712DAE" w:rsidP="00F66CBB"/>
        </w:tc>
      </w:tr>
    </w:tbl>
    <w:p w14:paraId="0930677A" w14:textId="77777777" w:rsidR="00712DAE" w:rsidRDefault="00712DAE" w:rsidP="00712DAE"/>
    <w:p w14:paraId="0A73BB2C" w14:textId="3888B1BC" w:rsidR="00712DAE" w:rsidRDefault="00712DAE" w:rsidP="00712DAE">
      <w:pPr>
        <w:numPr>
          <w:ilvl w:val="0"/>
          <w:numId w:val="5"/>
        </w:numPr>
      </w:pPr>
      <w:r>
        <w:lastRenderedPageBreak/>
        <w:t>Are there any known access restriction or information security classifications that apply to the records?</w:t>
      </w:r>
    </w:p>
    <w:p w14:paraId="6F173E27" w14:textId="61F03174" w:rsidR="00712DAE" w:rsidRDefault="00712DAE" w:rsidP="00712DAE">
      <w:pPr>
        <w:ind w:left="360"/>
      </w:pPr>
      <w:r>
        <w:t>Provide details:</w:t>
      </w:r>
    </w:p>
    <w:tbl>
      <w:tblPr>
        <w:tblStyle w:val="TableGrid"/>
        <w:tblW w:w="0" w:type="auto"/>
        <w:tblInd w:w="360" w:type="dxa"/>
        <w:tblLook w:val="04A0" w:firstRow="1" w:lastRow="0" w:firstColumn="1" w:lastColumn="0" w:noHBand="0" w:noVBand="1"/>
      </w:tblPr>
      <w:tblGrid>
        <w:gridCol w:w="9268"/>
      </w:tblGrid>
      <w:tr w:rsidR="00712DAE" w14:paraId="0F219C63" w14:textId="77777777" w:rsidTr="00F66CBB">
        <w:tc>
          <w:tcPr>
            <w:tcW w:w="9628" w:type="dxa"/>
          </w:tcPr>
          <w:p w14:paraId="44AF2B6C" w14:textId="77777777" w:rsidR="00712DAE" w:rsidRDefault="00712DAE" w:rsidP="00F66CBB"/>
        </w:tc>
      </w:tr>
    </w:tbl>
    <w:p w14:paraId="56A617D0" w14:textId="77777777" w:rsidR="00712DAE" w:rsidRDefault="00712DAE" w:rsidP="00712DAE">
      <w:pPr>
        <w:ind w:left="360"/>
      </w:pPr>
    </w:p>
    <w:p w14:paraId="20FE5C88" w14:textId="4415914B" w:rsidR="00712DAE" w:rsidRDefault="00712DAE" w:rsidP="00712DAE">
      <w:pPr>
        <w:numPr>
          <w:ilvl w:val="0"/>
          <w:numId w:val="5"/>
        </w:numPr>
      </w:pPr>
      <w:r>
        <w:t>Who is the subject matter expert on the records?</w:t>
      </w:r>
    </w:p>
    <w:p w14:paraId="5930A37F" w14:textId="77777777" w:rsidR="00712DAE" w:rsidRDefault="00712DAE" w:rsidP="00712DAE">
      <w:pPr>
        <w:ind w:left="284"/>
      </w:pPr>
      <w:r>
        <w:t>Name, role and contact details</w:t>
      </w:r>
    </w:p>
    <w:tbl>
      <w:tblPr>
        <w:tblStyle w:val="TableGrid"/>
        <w:tblW w:w="0" w:type="auto"/>
        <w:tblInd w:w="279" w:type="dxa"/>
        <w:tblLook w:val="04A0" w:firstRow="1" w:lastRow="0" w:firstColumn="1" w:lastColumn="0" w:noHBand="0" w:noVBand="1"/>
      </w:tblPr>
      <w:tblGrid>
        <w:gridCol w:w="9349"/>
      </w:tblGrid>
      <w:tr w:rsidR="00712DAE" w14:paraId="41C1B1CE" w14:textId="77777777" w:rsidTr="00F66CBB">
        <w:tc>
          <w:tcPr>
            <w:tcW w:w="9349" w:type="dxa"/>
          </w:tcPr>
          <w:p w14:paraId="39FD3407" w14:textId="77777777" w:rsidR="00712DAE" w:rsidRDefault="00712DAE" w:rsidP="00F66CBB"/>
        </w:tc>
      </w:tr>
    </w:tbl>
    <w:p w14:paraId="3ECF0DB1" w14:textId="77777777" w:rsidR="00712DAE" w:rsidRDefault="00712DAE" w:rsidP="00712DAE">
      <w:pPr>
        <w:ind w:left="720"/>
      </w:pPr>
    </w:p>
    <w:p w14:paraId="4853A4C8" w14:textId="6C232911" w:rsidR="00712DAE" w:rsidRDefault="00712DAE" w:rsidP="00712DAE">
      <w:pPr>
        <w:numPr>
          <w:ilvl w:val="0"/>
          <w:numId w:val="5"/>
        </w:numPr>
      </w:pPr>
      <w:r>
        <w:t>Who should Records Governance contact to discuss this collection (if required) and to provide ongoing TRIM links to for those who are authorised to have ongoing access to thisinformation?</w:t>
      </w:r>
    </w:p>
    <w:p w14:paraId="3211FD02" w14:textId="77777777" w:rsidR="00712DAE" w:rsidRDefault="00712DAE" w:rsidP="00712DAE">
      <w:pPr>
        <w:ind w:left="284"/>
      </w:pPr>
      <w:r>
        <w:t>Name, role and contact details</w:t>
      </w:r>
    </w:p>
    <w:tbl>
      <w:tblPr>
        <w:tblStyle w:val="TableGrid"/>
        <w:tblW w:w="0" w:type="auto"/>
        <w:tblInd w:w="279" w:type="dxa"/>
        <w:tblLook w:val="04A0" w:firstRow="1" w:lastRow="0" w:firstColumn="1" w:lastColumn="0" w:noHBand="0" w:noVBand="1"/>
      </w:tblPr>
      <w:tblGrid>
        <w:gridCol w:w="9349"/>
      </w:tblGrid>
      <w:tr w:rsidR="00712DAE" w14:paraId="3BFA906B" w14:textId="77777777" w:rsidTr="00F66CBB">
        <w:tc>
          <w:tcPr>
            <w:tcW w:w="9349" w:type="dxa"/>
          </w:tcPr>
          <w:p w14:paraId="772405AC" w14:textId="77777777" w:rsidR="00712DAE" w:rsidRDefault="00712DAE" w:rsidP="00F66CBB">
            <w:pPr>
              <w:spacing w:after="160" w:line="259" w:lineRule="auto"/>
              <w:ind w:left="284"/>
            </w:pPr>
          </w:p>
        </w:tc>
      </w:tr>
    </w:tbl>
    <w:p w14:paraId="1683394F" w14:textId="77777777" w:rsidR="00712DAE" w:rsidRDefault="00712DAE" w:rsidP="00712DAE">
      <w:pPr>
        <w:ind w:left="284"/>
      </w:pPr>
    </w:p>
    <w:p w14:paraId="10EDA714" w14:textId="1482662C" w:rsidR="00712DAE" w:rsidRDefault="00712DAE" w:rsidP="00712DAE">
      <w:pPr>
        <w:numPr>
          <w:ilvl w:val="0"/>
          <w:numId w:val="5"/>
        </w:numPr>
      </w:pPr>
      <w:r>
        <w:t>NOW YOU ARE READY TO ...</w:t>
      </w:r>
      <w:r>
        <w:br/>
      </w:r>
    </w:p>
    <w:p w14:paraId="34007058" w14:textId="77777777" w:rsidR="00712DAE" w:rsidRDefault="00712DAE" w:rsidP="00712DAE">
      <w:pPr>
        <w:ind w:left="360"/>
      </w:pPr>
      <w:r>
        <w:t xml:space="preserve">Contact the Records Governance team via email </w:t>
      </w:r>
      <w:hyperlink r:id="rId13" w:history="1">
        <w:r w:rsidRPr="00137A85">
          <w:rPr>
            <w:rStyle w:val="Hyperlink"/>
          </w:rPr>
          <w:t>uqcentralrecords@uq.edu.au</w:t>
        </w:r>
      </w:hyperlink>
      <w:r>
        <w:t xml:space="preserve"> and send this completed checklist to the attention of Records Governance will be in contact shortly.</w:t>
      </w:r>
    </w:p>
    <w:p w14:paraId="0FE29DB7" w14:textId="77777777" w:rsidR="00712DAE" w:rsidRDefault="00712DAE" w:rsidP="00712DAE">
      <w:pPr>
        <w:ind w:left="360"/>
      </w:pPr>
    </w:p>
    <w:p w14:paraId="03C91C5F" w14:textId="193CE7BD" w:rsidR="00712DAE" w:rsidRDefault="00712DAE" w:rsidP="00712DAE">
      <w:pPr>
        <w:ind w:left="360"/>
      </w:pPr>
      <w:r>
        <w:t xml:space="preserve">OR phone Marie de Groot, Manager Records </w:t>
      </w:r>
      <w:r w:rsidR="00F66CBB">
        <w:t xml:space="preserve">Governance </w:t>
      </w:r>
      <w:r>
        <w:t xml:space="preserve">– </w:t>
      </w:r>
      <w:r w:rsidRPr="00712DAE">
        <w:t xml:space="preserve">mobile </w:t>
      </w:r>
      <w:r w:rsidRPr="00F66CBB">
        <w:rPr>
          <w:rFonts w:eastAsiaTheme="minorEastAsia" w:cs="Arial"/>
          <w:noProof/>
          <w:szCs w:val="16"/>
        </w:rPr>
        <w:t>0409 168 562 -</w:t>
      </w:r>
      <w:r w:rsidRPr="00F66CBB">
        <w:rPr>
          <w:rFonts w:eastAsiaTheme="minorEastAsia" w:cs="Arial"/>
          <w:noProof/>
          <w:sz w:val="16"/>
          <w:szCs w:val="16"/>
        </w:rPr>
        <w:t xml:space="preserve"> </w:t>
      </w:r>
      <w:r w:rsidRPr="00712DAE">
        <w:t xml:space="preserve">for </w:t>
      </w:r>
      <w:r>
        <w:t>initial enquiries.</w:t>
      </w:r>
    </w:p>
    <w:p w14:paraId="3148B0E7" w14:textId="77777777" w:rsidR="00712DAE" w:rsidRDefault="00712DAE" w:rsidP="00712DAE"/>
    <w:p w14:paraId="30D56904" w14:textId="77777777" w:rsidR="00712DAE" w:rsidRDefault="00712DAE" w:rsidP="00712DAE">
      <w:pPr>
        <w:pStyle w:val="Heading1"/>
      </w:pPr>
      <w:r>
        <w:t>You might like to also refer to the following additional advice:</w:t>
      </w:r>
    </w:p>
    <w:p w14:paraId="062A8411" w14:textId="77777777" w:rsidR="00712DAE" w:rsidRDefault="00712DAE" w:rsidP="00712DAE"/>
    <w:p w14:paraId="5E9BFBB9" w14:textId="77777777" w:rsidR="00712DAE" w:rsidRPr="00E77E42" w:rsidRDefault="00712DAE" w:rsidP="00712DAE">
      <w:pPr>
        <w:pStyle w:val="ListParagraph"/>
        <w:numPr>
          <w:ilvl w:val="0"/>
          <w:numId w:val="10"/>
        </w:numPr>
        <w:rPr>
          <w:rFonts w:ascii="Arial" w:hAnsi="Arial" w:cs="Arial"/>
          <w:sz w:val="24"/>
          <w:szCs w:val="24"/>
        </w:rPr>
      </w:pPr>
      <w:r w:rsidRPr="00E77E42">
        <w:rPr>
          <w:rFonts w:ascii="Arial" w:hAnsi="Arial" w:cs="Arial"/>
          <w:sz w:val="24"/>
          <w:szCs w:val="24"/>
        </w:rPr>
        <w:t>GUIDE TO - Determining the value of records for ongoing retention management or destruction eligibility (TRIM Ref - D21/28439)</w:t>
      </w:r>
    </w:p>
    <w:p w14:paraId="2114E38B" w14:textId="77777777" w:rsidR="00712DAE" w:rsidRDefault="00712DAE" w:rsidP="00712DAE"/>
    <w:p w14:paraId="4F7583AD" w14:textId="2DD368A4" w:rsidR="00F448A7" w:rsidRDefault="00F448A7" w:rsidP="00DF6709">
      <w:bookmarkStart w:id="0" w:name="_GoBack"/>
      <w:bookmarkEnd w:id="0"/>
    </w:p>
    <w:sectPr w:rsidR="00F448A7" w:rsidSect="00DF1379">
      <w:headerReference w:type="default" r:id="rId14"/>
      <w:footerReference w:type="default" r:id="rId15"/>
      <w:headerReference w:type="first" r:id="rId16"/>
      <w:footerReference w:type="firs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F0359" w14:textId="77777777" w:rsidR="00F66CBB" w:rsidRDefault="00F66CBB" w:rsidP="00DF1379">
      <w:pPr>
        <w:spacing w:after="0" w:line="240" w:lineRule="auto"/>
      </w:pPr>
      <w:r>
        <w:separator/>
      </w:r>
    </w:p>
  </w:endnote>
  <w:endnote w:type="continuationSeparator" w:id="0">
    <w:p w14:paraId="0A9DA0B1" w14:textId="77777777" w:rsidR="00F66CBB" w:rsidRDefault="00F66CBB" w:rsidP="00DF1379">
      <w:pPr>
        <w:spacing w:after="0" w:line="240" w:lineRule="auto"/>
      </w:pPr>
      <w:r>
        <w:continuationSeparator/>
      </w:r>
    </w:p>
  </w:endnote>
  <w:endnote w:type="continuationNotice" w:id="1">
    <w:p w14:paraId="3FA4D2B8" w14:textId="77777777" w:rsidR="001B305C" w:rsidRDefault="001B3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07B7" w14:textId="0806E085" w:rsidR="00F66CBB" w:rsidRPr="00CD317D" w:rsidRDefault="00F66CBB" w:rsidP="00933C15">
    <w:pPr>
      <w:pStyle w:val="Footer"/>
      <w:tabs>
        <w:tab w:val="clear" w:pos="4513"/>
        <w:tab w:val="clear" w:pos="9026"/>
        <w:tab w:val="center" w:pos="4820"/>
        <w:tab w:val="right" w:pos="9638"/>
      </w:tabs>
      <w:rPr>
        <w:b/>
        <w:bCs/>
        <w:sz w:val="18"/>
        <w:szCs w:val="18"/>
      </w:rPr>
    </w:pPr>
    <w:r w:rsidRPr="00CD317D">
      <w:rPr>
        <w:sz w:val="18"/>
        <w:szCs w:val="18"/>
      </w:rPr>
      <w:t>Doc Id:</w:t>
    </w:r>
    <w:r>
      <w:rPr>
        <w:sz w:val="18"/>
        <w:szCs w:val="18"/>
      </w:rPr>
      <w:t xml:space="preserve"> D21/28441</w:t>
    </w:r>
    <w:r w:rsidRPr="00CD317D">
      <w:rPr>
        <w:sz w:val="18"/>
        <w:szCs w:val="18"/>
      </w:rPr>
      <w:tab/>
      <w:t>Records Governance Advice</w:t>
    </w:r>
    <w:r w:rsidRPr="00CD317D">
      <w:rPr>
        <w:sz w:val="18"/>
        <w:szCs w:val="18"/>
      </w:rPr>
      <w:tab/>
      <w:t xml:space="preserve">Page </w:t>
    </w:r>
    <w:r w:rsidRPr="00CD317D">
      <w:rPr>
        <w:b/>
        <w:bCs/>
        <w:sz w:val="18"/>
        <w:szCs w:val="18"/>
      </w:rPr>
      <w:fldChar w:fldCharType="begin"/>
    </w:r>
    <w:r w:rsidRPr="00CD317D">
      <w:rPr>
        <w:b/>
        <w:bCs/>
        <w:sz w:val="18"/>
        <w:szCs w:val="18"/>
      </w:rPr>
      <w:instrText xml:space="preserve"> PAGE  \* Arabic  \* MERGEFORMAT </w:instrText>
    </w:r>
    <w:r w:rsidRPr="00CD317D">
      <w:rPr>
        <w:b/>
        <w:bCs/>
        <w:sz w:val="18"/>
        <w:szCs w:val="18"/>
      </w:rPr>
      <w:fldChar w:fldCharType="separate"/>
    </w:r>
    <w:r>
      <w:rPr>
        <w:b/>
        <w:bCs/>
        <w:noProof/>
        <w:sz w:val="18"/>
        <w:szCs w:val="18"/>
      </w:rPr>
      <w:t>3</w:t>
    </w:r>
    <w:r w:rsidRPr="00CD317D">
      <w:rPr>
        <w:b/>
        <w:bCs/>
        <w:sz w:val="18"/>
        <w:szCs w:val="18"/>
      </w:rPr>
      <w:fldChar w:fldCharType="end"/>
    </w:r>
    <w:r w:rsidRPr="00CD317D">
      <w:rPr>
        <w:sz w:val="18"/>
        <w:szCs w:val="18"/>
      </w:rPr>
      <w:t xml:space="preserve"> of </w:t>
    </w:r>
    <w:r w:rsidRPr="00CD317D">
      <w:rPr>
        <w:b/>
        <w:bCs/>
        <w:sz w:val="18"/>
        <w:szCs w:val="18"/>
      </w:rPr>
      <w:fldChar w:fldCharType="begin"/>
    </w:r>
    <w:r w:rsidRPr="00CD317D">
      <w:rPr>
        <w:b/>
        <w:bCs/>
        <w:sz w:val="18"/>
        <w:szCs w:val="18"/>
      </w:rPr>
      <w:instrText xml:space="preserve"> NUMPAGES  \* Arabic  \* MERGEFORMAT </w:instrText>
    </w:r>
    <w:r w:rsidRPr="00CD317D">
      <w:rPr>
        <w:b/>
        <w:bCs/>
        <w:sz w:val="18"/>
        <w:szCs w:val="18"/>
      </w:rPr>
      <w:fldChar w:fldCharType="separate"/>
    </w:r>
    <w:r>
      <w:rPr>
        <w:b/>
        <w:bCs/>
        <w:noProof/>
        <w:sz w:val="18"/>
        <w:szCs w:val="18"/>
      </w:rPr>
      <w:t>3</w:t>
    </w:r>
    <w:r w:rsidRPr="00CD317D">
      <w:rPr>
        <w:b/>
        <w:bCs/>
        <w:sz w:val="18"/>
        <w:szCs w:val="18"/>
      </w:rPr>
      <w:fldChar w:fldCharType="end"/>
    </w:r>
  </w:p>
  <w:p w14:paraId="0A687A4C" w14:textId="5616109F" w:rsidR="00F66CBB" w:rsidRPr="00933C15" w:rsidRDefault="00F66CBB" w:rsidP="00933C15">
    <w:pPr>
      <w:pStyle w:val="Footer"/>
      <w:tabs>
        <w:tab w:val="clear" w:pos="4513"/>
        <w:tab w:val="clear" w:pos="9026"/>
        <w:tab w:val="center" w:pos="4820"/>
        <w:tab w:val="right" w:pos="9638"/>
      </w:tabs>
      <w:rPr>
        <w:b/>
        <w:bCs/>
        <w:sz w:val="18"/>
        <w:szCs w:val="18"/>
      </w:rPr>
    </w:pPr>
    <w:r w:rsidRPr="00933C15">
      <w:rPr>
        <w:bCs/>
        <w:sz w:val="16"/>
        <w:szCs w:val="16"/>
      </w:rPr>
      <w:t>Updated: 3-Feb-2021</w:t>
    </w:r>
    <w:r w:rsidRPr="00933C15">
      <w:rPr>
        <w:b/>
        <w:bCs/>
        <w:sz w:val="16"/>
        <w:szCs w:val="16"/>
      </w:rPr>
      <w:tab/>
    </w:r>
    <w:r>
      <w:rPr>
        <w:b/>
        <w:bCs/>
        <w:sz w:val="18"/>
        <w:szCs w:val="18"/>
      </w:rPr>
      <w:t>Requirements for transferring paper records to UQ Central Records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FA2F" w14:textId="7AEE08C2" w:rsidR="00F66CBB" w:rsidRPr="00CD317D" w:rsidRDefault="00F66CBB" w:rsidP="00CD317D">
    <w:pPr>
      <w:pStyle w:val="Footer"/>
      <w:tabs>
        <w:tab w:val="clear" w:pos="4513"/>
        <w:tab w:val="clear" w:pos="9026"/>
        <w:tab w:val="center" w:pos="4820"/>
        <w:tab w:val="right" w:pos="9638"/>
      </w:tabs>
      <w:rPr>
        <w:b/>
        <w:bCs/>
        <w:sz w:val="18"/>
        <w:szCs w:val="18"/>
      </w:rPr>
    </w:pPr>
    <w:r w:rsidRPr="00CD317D">
      <w:rPr>
        <w:sz w:val="18"/>
        <w:szCs w:val="18"/>
      </w:rPr>
      <w:t>Doc Id:</w:t>
    </w:r>
    <w:r>
      <w:rPr>
        <w:sz w:val="18"/>
        <w:szCs w:val="18"/>
      </w:rPr>
      <w:t xml:space="preserve"> D21/28441</w:t>
    </w:r>
    <w:r w:rsidRPr="00CD317D">
      <w:rPr>
        <w:sz w:val="18"/>
        <w:szCs w:val="18"/>
      </w:rPr>
      <w:tab/>
      <w:t>Records Governance Advice</w:t>
    </w:r>
    <w:r w:rsidRPr="00CD317D">
      <w:rPr>
        <w:sz w:val="18"/>
        <w:szCs w:val="18"/>
      </w:rPr>
      <w:tab/>
      <w:t xml:space="preserve">Page </w:t>
    </w:r>
    <w:r w:rsidRPr="00CD317D">
      <w:rPr>
        <w:b/>
        <w:bCs/>
        <w:sz w:val="18"/>
        <w:szCs w:val="18"/>
      </w:rPr>
      <w:fldChar w:fldCharType="begin"/>
    </w:r>
    <w:r w:rsidRPr="00CD317D">
      <w:rPr>
        <w:b/>
        <w:bCs/>
        <w:sz w:val="18"/>
        <w:szCs w:val="18"/>
      </w:rPr>
      <w:instrText xml:space="preserve"> PAGE  \* Arabic  \* MERGEFORMAT </w:instrText>
    </w:r>
    <w:r w:rsidRPr="00CD317D">
      <w:rPr>
        <w:b/>
        <w:bCs/>
        <w:sz w:val="18"/>
        <w:szCs w:val="18"/>
      </w:rPr>
      <w:fldChar w:fldCharType="separate"/>
    </w:r>
    <w:r>
      <w:rPr>
        <w:b/>
        <w:bCs/>
        <w:noProof/>
        <w:sz w:val="18"/>
        <w:szCs w:val="18"/>
      </w:rPr>
      <w:t>1</w:t>
    </w:r>
    <w:r w:rsidRPr="00CD317D">
      <w:rPr>
        <w:b/>
        <w:bCs/>
        <w:sz w:val="18"/>
        <w:szCs w:val="18"/>
      </w:rPr>
      <w:fldChar w:fldCharType="end"/>
    </w:r>
    <w:r w:rsidRPr="00CD317D">
      <w:rPr>
        <w:sz w:val="18"/>
        <w:szCs w:val="18"/>
      </w:rPr>
      <w:t xml:space="preserve"> of </w:t>
    </w:r>
    <w:r w:rsidRPr="00CD317D">
      <w:rPr>
        <w:b/>
        <w:bCs/>
        <w:sz w:val="18"/>
        <w:szCs w:val="18"/>
      </w:rPr>
      <w:fldChar w:fldCharType="begin"/>
    </w:r>
    <w:r w:rsidRPr="00CD317D">
      <w:rPr>
        <w:b/>
        <w:bCs/>
        <w:sz w:val="18"/>
        <w:szCs w:val="18"/>
      </w:rPr>
      <w:instrText xml:space="preserve"> NUMPAGES  \* Arabic  \* MERGEFORMAT </w:instrText>
    </w:r>
    <w:r w:rsidRPr="00CD317D">
      <w:rPr>
        <w:b/>
        <w:bCs/>
        <w:sz w:val="18"/>
        <w:szCs w:val="18"/>
      </w:rPr>
      <w:fldChar w:fldCharType="separate"/>
    </w:r>
    <w:r>
      <w:rPr>
        <w:b/>
        <w:bCs/>
        <w:noProof/>
        <w:sz w:val="18"/>
        <w:szCs w:val="18"/>
      </w:rPr>
      <w:t>3</w:t>
    </w:r>
    <w:r w:rsidRPr="00CD317D">
      <w:rPr>
        <w:b/>
        <w:bCs/>
        <w:sz w:val="18"/>
        <w:szCs w:val="18"/>
      </w:rPr>
      <w:fldChar w:fldCharType="end"/>
    </w:r>
  </w:p>
  <w:p w14:paraId="7C49D76A" w14:textId="50930BA9" w:rsidR="00F66CBB" w:rsidRPr="00CD317D" w:rsidRDefault="00F66CBB" w:rsidP="00933C15">
    <w:pPr>
      <w:pStyle w:val="Footer"/>
      <w:tabs>
        <w:tab w:val="clear" w:pos="4513"/>
        <w:tab w:val="clear" w:pos="9026"/>
        <w:tab w:val="center" w:pos="4820"/>
        <w:tab w:val="right" w:pos="9638"/>
      </w:tabs>
      <w:rPr>
        <w:b/>
        <w:bCs/>
        <w:sz w:val="18"/>
        <w:szCs w:val="18"/>
      </w:rPr>
    </w:pPr>
    <w:r w:rsidRPr="00933C15">
      <w:rPr>
        <w:bCs/>
        <w:sz w:val="16"/>
        <w:szCs w:val="16"/>
      </w:rPr>
      <w:t xml:space="preserve">Updated: </w:t>
    </w:r>
    <w:r>
      <w:rPr>
        <w:bCs/>
        <w:sz w:val="16"/>
        <w:szCs w:val="16"/>
      </w:rPr>
      <w:t>27-04</w:t>
    </w:r>
    <w:r w:rsidRPr="00933C15">
      <w:rPr>
        <w:bCs/>
        <w:sz w:val="16"/>
        <w:szCs w:val="16"/>
      </w:rPr>
      <w:t>-2021</w:t>
    </w:r>
    <w:r w:rsidRPr="00933C15">
      <w:rPr>
        <w:b/>
        <w:bCs/>
        <w:sz w:val="16"/>
        <w:szCs w:val="16"/>
      </w:rPr>
      <w:tab/>
    </w:r>
    <w:r>
      <w:rPr>
        <w:b/>
        <w:bCs/>
        <w:sz w:val="18"/>
        <w:szCs w:val="18"/>
      </w:rPr>
      <w:t>Requirements for transferring paper records to UQ Central 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0E903" w14:textId="77777777" w:rsidR="00F66CBB" w:rsidRDefault="00F66CBB" w:rsidP="00DF1379">
      <w:pPr>
        <w:spacing w:after="0" w:line="240" w:lineRule="auto"/>
      </w:pPr>
      <w:r>
        <w:separator/>
      </w:r>
    </w:p>
  </w:footnote>
  <w:footnote w:type="continuationSeparator" w:id="0">
    <w:p w14:paraId="0E81E2EA" w14:textId="77777777" w:rsidR="00F66CBB" w:rsidRDefault="00F66CBB" w:rsidP="00DF1379">
      <w:pPr>
        <w:spacing w:after="0" w:line="240" w:lineRule="auto"/>
      </w:pPr>
      <w:r>
        <w:continuationSeparator/>
      </w:r>
    </w:p>
  </w:footnote>
  <w:footnote w:type="continuationNotice" w:id="1">
    <w:p w14:paraId="5E19E15B" w14:textId="77777777" w:rsidR="001B305C" w:rsidRDefault="001B305C">
      <w:pPr>
        <w:spacing w:after="0" w:line="240" w:lineRule="auto"/>
      </w:pPr>
    </w:p>
  </w:footnote>
  <w:footnote w:id="2">
    <w:p w14:paraId="2BD92FC7" w14:textId="39201B49" w:rsidR="00F66CBB" w:rsidRPr="00933C15" w:rsidRDefault="00F66CBB" w:rsidP="00712DAE">
      <w:pPr>
        <w:pStyle w:val="FootnoteText"/>
        <w:rPr>
          <w:sz w:val="16"/>
        </w:rPr>
      </w:pPr>
      <w:r>
        <w:rPr>
          <w:rStyle w:val="FootnoteReference"/>
        </w:rPr>
        <w:footnoteRef/>
      </w:r>
      <w:r>
        <w:t xml:space="preserve"> </w:t>
      </w:r>
      <w:r w:rsidRPr="00933C15">
        <w:rPr>
          <w:sz w:val="16"/>
        </w:rPr>
        <w:t xml:space="preserve">UQ uses official archival quality boxes </w:t>
      </w:r>
      <w:r>
        <w:rPr>
          <w:sz w:val="16"/>
        </w:rPr>
        <w:t>provided by</w:t>
      </w:r>
      <w:r w:rsidRPr="00933C15">
        <w:rPr>
          <w:sz w:val="16"/>
        </w:rPr>
        <w:t xml:space="preserve"> Grace Information Management. They can be sourced through UQ </w:t>
      </w:r>
      <w:r>
        <w:rPr>
          <w:sz w:val="16"/>
        </w:rPr>
        <w:t>P&amp;F</w:t>
      </w:r>
      <w:r w:rsidRPr="00933C15">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B872" w14:textId="62E5D9AF" w:rsidR="00F66CBB" w:rsidRPr="00CD317D" w:rsidRDefault="00F66CBB" w:rsidP="00CD317D">
    <w:pPr>
      <w:pStyle w:val="Header"/>
      <w:tabs>
        <w:tab w:val="clear" w:pos="9026"/>
        <w:tab w:val="right" w:pos="9638"/>
      </w:tabs>
      <w:rPr>
        <w:rStyle w:val="IntenseEmphasis"/>
      </w:rPr>
    </w:pPr>
    <w:r w:rsidRPr="00CD317D">
      <w:rPr>
        <w:rStyle w:val="IntenseEmphasis"/>
      </w:rPr>
      <w:t xml:space="preserve">Records Governance Advice – </w:t>
    </w:r>
    <w:r>
      <w:rPr>
        <w:rStyle w:val="IntenseEmphasis"/>
      </w:rPr>
      <w:t>Requirements ... transferring physical records</w:t>
    </w:r>
    <w:r w:rsidRPr="00CD317D">
      <w:rPr>
        <w:rStyle w:val="IntenseEmphasis"/>
      </w:rPr>
      <w:tab/>
      <w:t>Continued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FD27" w14:textId="09F13B24" w:rsidR="00F66CBB" w:rsidRPr="00CD317D" w:rsidRDefault="00F66CBB" w:rsidP="00DF1379">
    <w:pPr>
      <w:pStyle w:val="Header"/>
      <w:tabs>
        <w:tab w:val="clear" w:pos="9026"/>
        <w:tab w:val="right" w:pos="9638"/>
      </w:tabs>
      <w:rPr>
        <w:b/>
      </w:rPr>
    </w:pPr>
    <w:r w:rsidRPr="00CD317D">
      <w:rPr>
        <w:rStyle w:val="Heading1Char"/>
        <w:b/>
      </w:rPr>
      <w:t>RECORDS GOVERNANCE ADVICE</w:t>
    </w:r>
    <w:r w:rsidRPr="00CD317D">
      <w:rPr>
        <w:b/>
      </w:rPr>
      <w:tab/>
    </w:r>
    <w:r w:rsidRPr="00CD317D">
      <w:rPr>
        <w:b/>
      </w:rPr>
      <w:tab/>
    </w:r>
    <w:r w:rsidRPr="00CD317D">
      <w:rPr>
        <w:b/>
        <w:noProof/>
        <w:sz w:val="18"/>
        <w:szCs w:val="18"/>
        <w:lang w:eastAsia="en-AU"/>
      </w:rPr>
      <w:drawing>
        <wp:inline distT="0" distB="0" distL="0" distR="0" wp14:anchorId="21CD0B66" wp14:editId="63CB510D">
          <wp:extent cx="1163250" cy="48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prefer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074" cy="486036"/>
                  </a:xfrm>
                  <a:prstGeom prst="rect">
                    <a:avLst/>
                  </a:prstGeom>
                </pic:spPr>
              </pic:pic>
            </a:graphicData>
          </a:graphic>
        </wp:inline>
      </w:drawing>
    </w:r>
  </w:p>
  <w:p w14:paraId="06767846" w14:textId="3451AB94" w:rsidR="00F66CBB" w:rsidRDefault="00F66CBB" w:rsidP="00DF1379">
    <w:pPr>
      <w:pStyle w:val="Heading2"/>
    </w:pPr>
    <w:r w:rsidRPr="00CD317D">
      <w:rPr>
        <w:b/>
      </w:rPr>
      <w:t>For all UQ business areas</w:t>
    </w:r>
  </w:p>
  <w:p w14:paraId="3C3024A8" w14:textId="77777777" w:rsidR="00F66CBB" w:rsidRDefault="00F66CBB" w:rsidP="00DF1379">
    <w:pPr>
      <w:pStyle w:val="Header"/>
      <w:tabs>
        <w:tab w:val="clear" w:pos="9026"/>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505"/>
    <w:multiLevelType w:val="hybridMultilevel"/>
    <w:tmpl w:val="6C0C9F30"/>
    <w:lvl w:ilvl="0" w:tplc="22661E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C53A6"/>
    <w:multiLevelType w:val="hybridMultilevel"/>
    <w:tmpl w:val="BE1601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448735E"/>
    <w:multiLevelType w:val="hybridMultilevel"/>
    <w:tmpl w:val="74F65B02"/>
    <w:lvl w:ilvl="0" w:tplc="22661E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380E4C"/>
    <w:multiLevelType w:val="hybridMultilevel"/>
    <w:tmpl w:val="ED9E4872"/>
    <w:lvl w:ilvl="0" w:tplc="22661E1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FC650C"/>
    <w:multiLevelType w:val="hybridMultilevel"/>
    <w:tmpl w:val="A120C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CD7C35"/>
    <w:multiLevelType w:val="hybridMultilevel"/>
    <w:tmpl w:val="5300A7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91E39FC"/>
    <w:multiLevelType w:val="hybridMultilevel"/>
    <w:tmpl w:val="7B1439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8927192"/>
    <w:multiLevelType w:val="hybridMultilevel"/>
    <w:tmpl w:val="8C4A7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B58617F"/>
    <w:multiLevelType w:val="hybridMultilevel"/>
    <w:tmpl w:val="38D804F0"/>
    <w:lvl w:ilvl="0" w:tplc="22661E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CD1EF7"/>
    <w:multiLevelType w:val="hybridMultilevel"/>
    <w:tmpl w:val="2A80DFF0"/>
    <w:lvl w:ilvl="0" w:tplc="0C09000F">
      <w:start w:val="1"/>
      <w:numFmt w:val="decimal"/>
      <w:lvlText w:val="%1."/>
      <w:lvlJc w:val="left"/>
      <w:pPr>
        <w:ind w:left="360" w:hanging="360"/>
      </w:pPr>
    </w:lvl>
    <w:lvl w:ilvl="1" w:tplc="22661E1A">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8"/>
  </w:num>
  <w:num w:numId="4">
    <w:abstractNumId w:val="1"/>
  </w:num>
  <w:num w:numId="5">
    <w:abstractNumId w:val="5"/>
  </w:num>
  <w:num w:numId="6">
    <w:abstractNumId w:val="9"/>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1A"/>
    <w:rsid w:val="000059D2"/>
    <w:rsid w:val="00015081"/>
    <w:rsid w:val="00023421"/>
    <w:rsid w:val="00024134"/>
    <w:rsid w:val="00046DFF"/>
    <w:rsid w:val="001B305C"/>
    <w:rsid w:val="001C3BFA"/>
    <w:rsid w:val="00243F27"/>
    <w:rsid w:val="002528AA"/>
    <w:rsid w:val="002868D3"/>
    <w:rsid w:val="00570A1A"/>
    <w:rsid w:val="006904C3"/>
    <w:rsid w:val="006B4A1D"/>
    <w:rsid w:val="00712DAE"/>
    <w:rsid w:val="007C696F"/>
    <w:rsid w:val="008B6E49"/>
    <w:rsid w:val="008B7183"/>
    <w:rsid w:val="008F75F7"/>
    <w:rsid w:val="00933C15"/>
    <w:rsid w:val="009742ED"/>
    <w:rsid w:val="00AA6AA0"/>
    <w:rsid w:val="00B377AC"/>
    <w:rsid w:val="00B70F37"/>
    <w:rsid w:val="00BE48D0"/>
    <w:rsid w:val="00BF611D"/>
    <w:rsid w:val="00BF6417"/>
    <w:rsid w:val="00C2415B"/>
    <w:rsid w:val="00C867A0"/>
    <w:rsid w:val="00CA4D26"/>
    <w:rsid w:val="00CD317D"/>
    <w:rsid w:val="00DF1379"/>
    <w:rsid w:val="00DF6709"/>
    <w:rsid w:val="00E24631"/>
    <w:rsid w:val="00EB3BF1"/>
    <w:rsid w:val="00EC12F4"/>
    <w:rsid w:val="00F03008"/>
    <w:rsid w:val="00F448A7"/>
    <w:rsid w:val="00F66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1E11A"/>
  <w15:chartTrackingRefBased/>
  <w15:docId w15:val="{2943B85F-FEA1-4559-A962-C7322481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3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13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709"/>
    <w:rPr>
      <w:color w:val="0563C1" w:themeColor="hyperlink"/>
      <w:u w:val="single"/>
    </w:rPr>
  </w:style>
  <w:style w:type="table" w:styleId="TableGrid">
    <w:name w:val="Table Grid"/>
    <w:basedOn w:val="TableNormal"/>
    <w:uiPriority w:val="39"/>
    <w:rsid w:val="00286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379"/>
  </w:style>
  <w:style w:type="paragraph" w:styleId="Footer">
    <w:name w:val="footer"/>
    <w:basedOn w:val="Normal"/>
    <w:link w:val="FooterChar"/>
    <w:uiPriority w:val="99"/>
    <w:unhideWhenUsed/>
    <w:rsid w:val="00DF1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379"/>
  </w:style>
  <w:style w:type="character" w:customStyle="1" w:styleId="Heading1Char">
    <w:name w:val="Heading 1 Char"/>
    <w:basedOn w:val="DefaultParagraphFont"/>
    <w:link w:val="Heading1"/>
    <w:uiPriority w:val="9"/>
    <w:rsid w:val="00DF13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137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F13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379"/>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D317D"/>
    <w:rPr>
      <w:i/>
      <w:iCs/>
      <w:color w:val="5B9BD5" w:themeColor="accent1"/>
    </w:rPr>
  </w:style>
  <w:style w:type="paragraph" w:styleId="FootnoteText">
    <w:name w:val="footnote text"/>
    <w:basedOn w:val="Normal"/>
    <w:link w:val="FootnoteTextChar"/>
    <w:uiPriority w:val="99"/>
    <w:semiHidden/>
    <w:unhideWhenUsed/>
    <w:rsid w:val="00B70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F37"/>
    <w:rPr>
      <w:sz w:val="20"/>
      <w:szCs w:val="20"/>
    </w:rPr>
  </w:style>
  <w:style w:type="character" w:styleId="FootnoteReference">
    <w:name w:val="footnote reference"/>
    <w:basedOn w:val="DefaultParagraphFont"/>
    <w:uiPriority w:val="99"/>
    <w:semiHidden/>
    <w:unhideWhenUsed/>
    <w:rsid w:val="00B70F37"/>
    <w:rPr>
      <w:vertAlign w:val="superscript"/>
    </w:rPr>
  </w:style>
  <w:style w:type="character" w:styleId="CommentReference">
    <w:name w:val="annotation reference"/>
    <w:basedOn w:val="DefaultParagraphFont"/>
    <w:uiPriority w:val="99"/>
    <w:semiHidden/>
    <w:unhideWhenUsed/>
    <w:rsid w:val="00243F27"/>
    <w:rPr>
      <w:sz w:val="16"/>
      <w:szCs w:val="16"/>
    </w:rPr>
  </w:style>
  <w:style w:type="paragraph" w:styleId="CommentText">
    <w:name w:val="annotation text"/>
    <w:basedOn w:val="Normal"/>
    <w:link w:val="CommentTextChar"/>
    <w:uiPriority w:val="99"/>
    <w:semiHidden/>
    <w:unhideWhenUsed/>
    <w:rsid w:val="00243F27"/>
    <w:pPr>
      <w:spacing w:line="240" w:lineRule="auto"/>
    </w:pPr>
    <w:rPr>
      <w:sz w:val="20"/>
      <w:szCs w:val="20"/>
    </w:rPr>
  </w:style>
  <w:style w:type="character" w:customStyle="1" w:styleId="CommentTextChar">
    <w:name w:val="Comment Text Char"/>
    <w:basedOn w:val="DefaultParagraphFont"/>
    <w:link w:val="CommentText"/>
    <w:uiPriority w:val="99"/>
    <w:semiHidden/>
    <w:rsid w:val="00243F27"/>
    <w:rPr>
      <w:sz w:val="20"/>
      <w:szCs w:val="20"/>
    </w:rPr>
  </w:style>
  <w:style w:type="paragraph" w:styleId="CommentSubject">
    <w:name w:val="annotation subject"/>
    <w:basedOn w:val="CommentText"/>
    <w:next w:val="CommentText"/>
    <w:link w:val="CommentSubjectChar"/>
    <w:uiPriority w:val="99"/>
    <w:semiHidden/>
    <w:unhideWhenUsed/>
    <w:rsid w:val="00243F27"/>
    <w:rPr>
      <w:b/>
      <w:bCs/>
    </w:rPr>
  </w:style>
  <w:style w:type="character" w:customStyle="1" w:styleId="CommentSubjectChar">
    <w:name w:val="Comment Subject Char"/>
    <w:basedOn w:val="CommentTextChar"/>
    <w:link w:val="CommentSubject"/>
    <w:uiPriority w:val="99"/>
    <w:semiHidden/>
    <w:rsid w:val="00243F27"/>
    <w:rPr>
      <w:b/>
      <w:bCs/>
      <w:sz w:val="20"/>
      <w:szCs w:val="20"/>
    </w:rPr>
  </w:style>
  <w:style w:type="paragraph" w:styleId="BalloonText">
    <w:name w:val="Balloon Text"/>
    <w:basedOn w:val="Normal"/>
    <w:link w:val="BalloonTextChar"/>
    <w:uiPriority w:val="99"/>
    <w:semiHidden/>
    <w:unhideWhenUsed/>
    <w:rsid w:val="00243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27"/>
    <w:rPr>
      <w:rFonts w:ascii="Segoe UI" w:hAnsi="Segoe UI" w:cs="Segoe UI"/>
      <w:sz w:val="18"/>
      <w:szCs w:val="18"/>
    </w:rPr>
  </w:style>
  <w:style w:type="paragraph" w:styleId="ListParagraph">
    <w:name w:val="List Paragraph"/>
    <w:basedOn w:val="Normal"/>
    <w:uiPriority w:val="34"/>
    <w:qFormat/>
    <w:rsid w:val="00243F2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qcentralrecords@uq.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qcentralrecords@uq.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qcentralrecords@uq.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855208D20FC4D890892ABC8B0D6A9" ma:contentTypeVersion="13" ma:contentTypeDescription="Create a new document." ma:contentTypeScope="" ma:versionID="20cd2887a6f9b8e5854d8e21b071e556">
  <xsd:schema xmlns:xsd="http://www.w3.org/2001/XMLSchema" xmlns:xs="http://www.w3.org/2001/XMLSchema" xmlns:p="http://schemas.microsoft.com/office/2006/metadata/properties" xmlns:ns3="b2b7de36-29b3-4640-b901-4cbf59072590" xmlns:ns4="f9717cc3-9ba4-418e-8646-47c70489afb2" targetNamespace="http://schemas.microsoft.com/office/2006/metadata/properties" ma:root="true" ma:fieldsID="eee2f3f8f58b8df40d89045f63d02aec" ns3:_="" ns4:_="">
    <xsd:import namespace="b2b7de36-29b3-4640-b901-4cbf59072590"/>
    <xsd:import namespace="f9717cc3-9ba4-418e-8646-47c70489af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7de36-29b3-4640-b901-4cbf59072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17cc3-9ba4-418e-8646-47c70489af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6A1F-3BCD-4056-9FEA-BFA1F43B10C6}">
  <ds:schemaRefs>
    <ds:schemaRef ds:uri="f9717cc3-9ba4-418e-8646-47c70489afb2"/>
    <ds:schemaRef ds:uri="b2b7de36-29b3-4640-b901-4cbf59072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E68C013-E735-4DD2-82A4-DE86A338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7de36-29b3-4640-b901-4cbf59072590"/>
    <ds:schemaRef ds:uri="f9717cc3-9ba4-418e-8646-47c70489a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318EE-F836-4336-BC27-D2828FAD42B2}">
  <ds:schemaRefs>
    <ds:schemaRef ds:uri="http://schemas.microsoft.com/sharepoint/v3/contenttype/forms"/>
  </ds:schemaRefs>
</ds:datastoreItem>
</file>

<file path=customXml/itemProps4.xml><?xml version="1.0" encoding="utf-8"?>
<ds:datastoreItem xmlns:ds="http://schemas.openxmlformats.org/officeDocument/2006/customXml" ds:itemID="{20D8BD41-F0CE-4AF8-924C-6E6D945B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 Groot</dc:creator>
  <cp:keywords/>
  <dc:description/>
  <cp:lastModifiedBy>Marie de Groot</cp:lastModifiedBy>
  <cp:revision>5</cp:revision>
  <dcterms:created xsi:type="dcterms:W3CDTF">2021-03-22T21:25:00Z</dcterms:created>
  <dcterms:modified xsi:type="dcterms:W3CDTF">2021-04-27T08:00:00Z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0x010100D35855208D20FC4D890892ABC8B0D6A9</vt:lpwstr>
  </property>
</Properties>
</file>